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49E1A5" w14:textId="3184C84B" w:rsidR="00917EDD" w:rsidRDefault="00917EDD" w:rsidP="00917EDD">
      <w:pPr>
        <w:tabs>
          <w:tab w:val="num" w:pos="720"/>
        </w:tabs>
      </w:pPr>
      <w:r>
        <w:t>Available Innovations:</w:t>
      </w:r>
      <w:r w:rsidR="00D7665A">
        <w:t xml:space="preserve"> Updated June 10, 2020</w:t>
      </w:r>
    </w:p>
    <w:p w14:paraId="22CCABD9" w14:textId="77777777" w:rsidR="00917EDD" w:rsidRDefault="00917EDD" w:rsidP="00917EDD">
      <w:pPr>
        <w:ind w:left="720"/>
      </w:pPr>
    </w:p>
    <w:p w14:paraId="06F67DA3" w14:textId="7E6987DF" w:rsidR="00917EDD" w:rsidRPr="00917EDD" w:rsidRDefault="003D0512" w:rsidP="00917EDD">
      <w:pPr>
        <w:numPr>
          <w:ilvl w:val="0"/>
          <w:numId w:val="1"/>
        </w:numPr>
      </w:pPr>
      <w:r w:rsidRPr="00370B7E">
        <w:rPr>
          <w:color w:val="C00000"/>
        </w:rPr>
        <w:t xml:space="preserve">INNOVATION 1: </w:t>
      </w:r>
      <w:r w:rsidR="00917EDD" w:rsidRPr="00917EDD">
        <w:t>(Personalized/</w:t>
      </w:r>
      <w:r w:rsidR="00370B7E" w:rsidRPr="00917EDD">
        <w:t>proficiency-based</w:t>
      </w:r>
      <w:r w:rsidR="00917EDD" w:rsidRPr="00917EDD">
        <w:t xml:space="preserve"> learning both at the individual level and as an exception to aggregate hours of instruction (20-9-311(4)(d)).  See also 10.55.906(3) and (4) of the Board of Public Education’s rules.</w:t>
      </w:r>
    </w:p>
    <w:p w14:paraId="393E8712" w14:textId="77777777" w:rsidR="00917EDD" w:rsidRPr="00917EDD" w:rsidRDefault="00917EDD" w:rsidP="00917EDD">
      <w:pPr>
        <w:numPr>
          <w:ilvl w:val="1"/>
          <w:numId w:val="2"/>
        </w:numPr>
      </w:pPr>
      <w:r w:rsidRPr="00917EDD">
        <w:t>Can be used to completely reinvent the calendar and/or focus on the outcome of learning rather than the output of instruction.</w:t>
      </w:r>
    </w:p>
    <w:p w14:paraId="2ED08180" w14:textId="1E80F409" w:rsidR="00917EDD" w:rsidRPr="00917EDD" w:rsidRDefault="00917EDD" w:rsidP="00917EDD">
      <w:pPr>
        <w:numPr>
          <w:ilvl w:val="2"/>
          <w:numId w:val="2"/>
        </w:numPr>
      </w:pPr>
      <w:r w:rsidRPr="00917EDD">
        <w:t>Example of flexibility already implemented is the 4-day school calendar.</w:t>
      </w:r>
    </w:p>
    <w:p w14:paraId="1004DBAD" w14:textId="2F54AE39" w:rsidR="00917EDD" w:rsidRDefault="00917EDD" w:rsidP="00917EDD">
      <w:pPr>
        <w:numPr>
          <w:ilvl w:val="2"/>
          <w:numId w:val="2"/>
        </w:numPr>
      </w:pPr>
      <w:r w:rsidRPr="00917EDD">
        <w:t>Another example where we have not seen anyone yet implement is the authority to satisfy the aggregate hours of instruction through year-round school with mid-term breaks.</w:t>
      </w:r>
    </w:p>
    <w:p w14:paraId="5EAC9320" w14:textId="47DB5641" w:rsidR="00917EDD" w:rsidRPr="00917EDD" w:rsidRDefault="00917EDD" w:rsidP="00917EDD">
      <w:pPr>
        <w:numPr>
          <w:ilvl w:val="3"/>
          <w:numId w:val="2"/>
        </w:numPr>
      </w:pPr>
      <w:r>
        <w:t>Our members could do what UM and MSU have done and front-load the FY21 school calendar to store up aggregate hours provided on site in anticipation of a possible COVID-19 rebound.</w:t>
      </w:r>
    </w:p>
    <w:p w14:paraId="256C3CF6" w14:textId="6AF46AAA" w:rsidR="00917EDD" w:rsidRPr="00917EDD" w:rsidRDefault="00917EDD" w:rsidP="00917EDD">
      <w:pPr>
        <w:numPr>
          <w:ilvl w:val="1"/>
          <w:numId w:val="2"/>
        </w:numPr>
      </w:pPr>
      <w:r w:rsidRPr="00917EDD">
        <w:t>Can be coordinated with a Transformational Learning payment but is not limited to districts who have obtained a Transformational Learning Grant.</w:t>
      </w:r>
      <w:r>
        <w:t xml:space="preserve"> Proficiency determinations and declarations are available to all school districts.</w:t>
      </w:r>
    </w:p>
    <w:p w14:paraId="446B7D49" w14:textId="63A9F7F3" w:rsidR="00917EDD" w:rsidRPr="00917EDD" w:rsidRDefault="003D0512" w:rsidP="00917EDD">
      <w:pPr>
        <w:numPr>
          <w:ilvl w:val="0"/>
          <w:numId w:val="2"/>
        </w:numPr>
      </w:pPr>
      <w:r w:rsidRPr="00370B7E">
        <w:rPr>
          <w:color w:val="C00000"/>
        </w:rPr>
        <w:t>INNOVATION 2:</w:t>
      </w:r>
      <w:r>
        <w:t xml:space="preserve"> </w:t>
      </w:r>
      <w:r w:rsidR="00917EDD" w:rsidRPr="00917EDD">
        <w:t>Offsite learning is specifically authorized as a means of meeting the aggregate hours of instruction and generating ANB. 20-1-101(5); 20-1-101(14); 20-7-118; and 20-9-311(11), MCA.</w:t>
      </w:r>
    </w:p>
    <w:p w14:paraId="6AB24424" w14:textId="6FA6DD38" w:rsidR="00917EDD" w:rsidRPr="00917EDD" w:rsidRDefault="003D0512" w:rsidP="00917EDD">
      <w:pPr>
        <w:numPr>
          <w:ilvl w:val="0"/>
          <w:numId w:val="2"/>
        </w:numPr>
      </w:pPr>
      <w:r w:rsidRPr="00370B7E">
        <w:rPr>
          <w:color w:val="C00000"/>
        </w:rPr>
        <w:t>INNOVATION 3:</w:t>
      </w:r>
      <w:r>
        <w:t xml:space="preserve"> </w:t>
      </w:r>
      <w:r w:rsidR="00917EDD" w:rsidRPr="00917EDD">
        <w:t>Trustees have the authority to use transportation funds through individual contracts with offsite learning students’ families, to reimburse the cost of meals (“board and room” is what the statute provides) and provision of correspondence (aka offsite) courses. Section 20-10-101(5), MCA.</w:t>
      </w:r>
    </w:p>
    <w:p w14:paraId="53ED0520" w14:textId="318E6C40" w:rsidR="00917EDD" w:rsidRDefault="00917EDD" w:rsidP="00917EDD">
      <w:pPr>
        <w:numPr>
          <w:ilvl w:val="1"/>
          <w:numId w:val="2"/>
        </w:numPr>
      </w:pPr>
      <w:r w:rsidRPr="00917EDD">
        <w:t xml:space="preserve">May not be able to </w:t>
      </w:r>
      <w:r>
        <w:t xml:space="preserve">use </w:t>
      </w:r>
      <w:r w:rsidRPr="00917EDD">
        <w:t xml:space="preserve">school nutrition funds without waiver of </w:t>
      </w:r>
      <w:r>
        <w:t xml:space="preserve">the </w:t>
      </w:r>
      <w:r w:rsidRPr="00917EDD">
        <w:t>congregated meal requirement.  That does not restrict the district</w:t>
      </w:r>
      <w:r>
        <w:t>, however,</w:t>
      </w:r>
      <w:r w:rsidRPr="00917EDD">
        <w:t xml:space="preserve"> from reimbursing the family for meal costs from transportation funds.</w:t>
      </w:r>
    </w:p>
    <w:p w14:paraId="3FDB9F01" w14:textId="1C9F5B8B" w:rsidR="00370B7E" w:rsidRPr="00917EDD" w:rsidRDefault="00370B7E" w:rsidP="00917EDD">
      <w:pPr>
        <w:numPr>
          <w:ilvl w:val="1"/>
          <w:numId w:val="2"/>
        </w:numPr>
      </w:pPr>
      <w:r>
        <w:t>The authority to use transportation funds to pay for correspondence courses could provide significant relief to the school district general fund budget.</w:t>
      </w:r>
    </w:p>
    <w:p w14:paraId="46EA739E" w14:textId="7585C038" w:rsidR="00917EDD" w:rsidRDefault="003D0512" w:rsidP="00917EDD">
      <w:pPr>
        <w:numPr>
          <w:ilvl w:val="0"/>
          <w:numId w:val="2"/>
        </w:numPr>
      </w:pPr>
      <w:r w:rsidRPr="00370B7E">
        <w:rPr>
          <w:color w:val="C00000"/>
        </w:rPr>
        <w:t>INNOVATION 4:</w:t>
      </w:r>
      <w:r>
        <w:t xml:space="preserve"> </w:t>
      </w:r>
      <w:r w:rsidR="00917EDD" w:rsidRPr="00917EDD">
        <w:t>Use of the tuition fund to cover the full costs of IDEA that are not funded by (general fund budget per pupil + state and federal special education payment). 20-5-324(5)(a)(iii).</w:t>
      </w:r>
    </w:p>
    <w:p w14:paraId="272C0993" w14:textId="2249EC8D" w:rsidR="003D0512" w:rsidRPr="00917EDD" w:rsidRDefault="003D0512" w:rsidP="003D0512">
      <w:pPr>
        <w:numPr>
          <w:ilvl w:val="1"/>
          <w:numId w:val="2"/>
        </w:numPr>
      </w:pPr>
      <w:r>
        <w:t xml:space="preserve">IDEA qualified students are more vulnerable than ever </w:t>
      </w:r>
      <w:r w:rsidR="00EE19E7">
        <w:t>considering</w:t>
      </w:r>
      <w:r>
        <w:t xml:space="preserve"> the disruptions to routine under COVID-19.  Getting </w:t>
      </w:r>
      <w:r w:rsidR="00EE19E7">
        <w:t>these</w:t>
      </w:r>
      <w:r>
        <w:t xml:space="preserve"> students back on track and in compliance with IEP’s will take resources that are available to every school district under this law.</w:t>
      </w:r>
    </w:p>
    <w:p w14:paraId="31FCA50C" w14:textId="748F2758" w:rsidR="00715725" w:rsidRDefault="003D0512" w:rsidP="00917EDD">
      <w:pPr>
        <w:numPr>
          <w:ilvl w:val="0"/>
          <w:numId w:val="2"/>
        </w:numPr>
      </w:pPr>
      <w:r w:rsidRPr="00370B7E">
        <w:rPr>
          <w:color w:val="C00000"/>
        </w:rPr>
        <w:t xml:space="preserve">INNOVATION 5: </w:t>
      </w:r>
      <w:r w:rsidR="00917EDD" w:rsidRPr="00917EDD">
        <w:t xml:space="preserve">The authority to enroll and admit children under the age of 5 and generate ANB when there are exceptional circumstances in the discretion of the trustees that merit waiver of the age requirement. 20-5-101(3), MCA. </w:t>
      </w:r>
    </w:p>
    <w:p w14:paraId="2B6249D1" w14:textId="71C1C4CC" w:rsidR="00917EDD" w:rsidRPr="00917EDD" w:rsidRDefault="00715725" w:rsidP="00715725">
      <w:pPr>
        <w:numPr>
          <w:ilvl w:val="1"/>
          <w:numId w:val="2"/>
        </w:numPr>
      </w:pPr>
      <w:r>
        <w:t>What could be more exceptional than the circumstances of COVID-19?</w:t>
      </w:r>
      <w:r w:rsidR="003D0512">
        <w:t xml:space="preserve"> There are already discussions regarding the possible loss of effective learning affecting this generation of learners and COVID-19 is not over yet.  Providing an early childhood education option could be one way to advance the learning of children and give them an early foundation that will see them through the effects of </w:t>
      </w:r>
      <w:r w:rsidR="003D0512">
        <w:lastRenderedPageBreak/>
        <w:t>COVID-19.  It could also provide families who have seen their daycare options dry up get back to work.</w:t>
      </w:r>
    </w:p>
    <w:p w14:paraId="74B6B376" w14:textId="5BF12039" w:rsidR="00917EDD" w:rsidRPr="00917EDD" w:rsidRDefault="00917EDD" w:rsidP="00917EDD">
      <w:pPr>
        <w:numPr>
          <w:ilvl w:val="1"/>
          <w:numId w:val="2"/>
        </w:numPr>
      </w:pPr>
      <w:r w:rsidRPr="00917EDD">
        <w:t>Note that Black’s Law Dictionary defines exceptional circumstances as “conditions which are out of the ordinary course of events; unusual or extraordinary circumstances</w:t>
      </w:r>
      <w:proofErr w:type="gramStart"/>
      <w:r w:rsidRPr="00917EDD">
        <w:t>.”</w:t>
      </w:r>
      <w:proofErr w:type="gramEnd"/>
      <w:r w:rsidR="003D0512">
        <w:t xml:space="preserve"> A pandemic with the effects of COVID-19 has not been seen since the Spanish flu epidemic of 1918.</w:t>
      </w:r>
    </w:p>
    <w:p w14:paraId="200F9C39" w14:textId="5DABAA2E" w:rsidR="00917EDD" w:rsidRPr="00917EDD" w:rsidRDefault="003D0512" w:rsidP="00917EDD">
      <w:pPr>
        <w:numPr>
          <w:ilvl w:val="1"/>
          <w:numId w:val="2"/>
        </w:numPr>
      </w:pPr>
      <w:r>
        <w:t xml:space="preserve">The amount </w:t>
      </w:r>
      <w:r w:rsidR="00917EDD" w:rsidRPr="00917EDD">
        <w:t xml:space="preserve">of ANB </w:t>
      </w:r>
      <w:r>
        <w:t xml:space="preserve">for a child enrolled under exceptional circumstances </w:t>
      </w:r>
      <w:r w:rsidR="00917EDD" w:rsidRPr="00917EDD">
        <w:t>is determined under 20-9-311 based on aggregate hours of instruction.</w:t>
      </w:r>
    </w:p>
    <w:p w14:paraId="11E8EEFB" w14:textId="1D511D7A" w:rsidR="00917EDD" w:rsidRPr="00917EDD" w:rsidRDefault="00917EDD" w:rsidP="00917EDD">
      <w:pPr>
        <w:numPr>
          <w:ilvl w:val="1"/>
          <w:numId w:val="2"/>
        </w:numPr>
      </w:pPr>
      <w:r w:rsidRPr="00917EDD">
        <w:t xml:space="preserve">Must be in a “school of the district”.  </w:t>
      </w:r>
      <w:r w:rsidR="003D0512">
        <w:t>There is n</w:t>
      </w:r>
      <w:r w:rsidRPr="00917EDD">
        <w:t xml:space="preserve">o requirement to place the student in any particular </w:t>
      </w:r>
      <w:proofErr w:type="gramStart"/>
      <w:r w:rsidRPr="00917EDD">
        <w:t>grade</w:t>
      </w:r>
      <w:proofErr w:type="gramEnd"/>
      <w:r w:rsidRPr="00917EDD">
        <w:t xml:space="preserve"> but the predominant practice is to set up Kindergarten 1 (for exceptional) and Kindergarten 2 (for those completing K-1 and/or children without exceptional circumstances).</w:t>
      </w:r>
      <w:r w:rsidR="009107FD">
        <w:t xml:space="preserve"> The right of the board of trustees to determine placement and promotion from grade to grade has long been recognized.</w:t>
      </w:r>
    </w:p>
    <w:p w14:paraId="3024D678" w14:textId="27419CA5" w:rsidR="00917EDD" w:rsidRPr="00917EDD" w:rsidRDefault="00917EDD" w:rsidP="00917EDD">
      <w:pPr>
        <w:numPr>
          <w:ilvl w:val="1"/>
          <w:numId w:val="2"/>
        </w:numPr>
      </w:pPr>
      <w:r w:rsidRPr="00917EDD">
        <w:t xml:space="preserve">The determination of exceptional circumstances is up to the elected board of trustees and can be made either by individual attributes of the child or demographic conditions that represent a deviation from the norm (e.g. free or reduced lunch eligibility, IDEA, 504, gifted and talented, LEP, American Indian ethnicity, </w:t>
      </w:r>
      <w:r w:rsidR="003D0512">
        <w:t xml:space="preserve">COVID-19, </w:t>
      </w:r>
      <w:r w:rsidRPr="00917EDD">
        <w:t>etc.)</w:t>
      </w:r>
    </w:p>
    <w:p w14:paraId="104497C8" w14:textId="77777777" w:rsidR="00917EDD" w:rsidRPr="00917EDD" w:rsidRDefault="00917EDD" w:rsidP="00917EDD">
      <w:pPr>
        <w:numPr>
          <w:ilvl w:val="1"/>
          <w:numId w:val="2"/>
        </w:numPr>
      </w:pPr>
      <w:r w:rsidRPr="00917EDD">
        <w:t>Cannot be preschool, either in name or substance.</w:t>
      </w:r>
    </w:p>
    <w:p w14:paraId="327F937F" w14:textId="77777777" w:rsidR="00917EDD" w:rsidRPr="00917EDD" w:rsidRDefault="00917EDD" w:rsidP="00917EDD">
      <w:pPr>
        <w:numPr>
          <w:ilvl w:val="1"/>
          <w:numId w:val="2"/>
        </w:numPr>
      </w:pPr>
      <w:r w:rsidRPr="00917EDD">
        <w:t xml:space="preserve">Authorizes ANB for 3 and </w:t>
      </w:r>
      <w:proofErr w:type="gramStart"/>
      <w:r w:rsidRPr="00917EDD">
        <w:t>4 year</w:t>
      </w:r>
      <w:proofErr w:type="gramEnd"/>
      <w:r w:rsidRPr="00917EDD">
        <w:t xml:space="preserve"> </w:t>
      </w:r>
      <w:proofErr w:type="spellStart"/>
      <w:r w:rsidRPr="00917EDD">
        <w:t>olds</w:t>
      </w:r>
      <w:proofErr w:type="spellEnd"/>
      <w:r w:rsidRPr="00917EDD">
        <w:t xml:space="preserve"> under IDEA, provided they have been provided at least 180 hours of instruction over the year.</w:t>
      </w:r>
    </w:p>
    <w:p w14:paraId="634A3FAF" w14:textId="77777777" w:rsidR="00917EDD" w:rsidRPr="00917EDD" w:rsidRDefault="00917EDD" w:rsidP="00917EDD">
      <w:pPr>
        <w:numPr>
          <w:ilvl w:val="2"/>
          <w:numId w:val="2"/>
        </w:numPr>
      </w:pPr>
      <w:r w:rsidRPr="00917EDD">
        <w:t>Note the chapter headings in Title 20, Chapter 7, Part 4, entitled “special education for exceptional children</w:t>
      </w:r>
      <w:proofErr w:type="gramStart"/>
      <w:r w:rsidRPr="00917EDD">
        <w:t>.”</w:t>
      </w:r>
      <w:proofErr w:type="gramEnd"/>
    </w:p>
    <w:p w14:paraId="327A0088" w14:textId="77777777" w:rsidR="00917EDD" w:rsidRPr="00917EDD" w:rsidRDefault="00917EDD" w:rsidP="00917EDD">
      <w:pPr>
        <w:numPr>
          <w:ilvl w:val="2"/>
          <w:numId w:val="2"/>
        </w:numPr>
      </w:pPr>
      <w:r w:rsidRPr="00917EDD">
        <w:t xml:space="preserve">IEP determines the services that the school is obligated to provide and that the child is entitled to receive, so general Kindergarten standards need not be rigorously complied with. </w:t>
      </w:r>
    </w:p>
    <w:p w14:paraId="0D7320B9" w14:textId="476D370D" w:rsidR="00917EDD" w:rsidRPr="00917EDD" w:rsidRDefault="003D0512" w:rsidP="00917EDD">
      <w:pPr>
        <w:numPr>
          <w:ilvl w:val="0"/>
          <w:numId w:val="2"/>
        </w:numPr>
      </w:pPr>
      <w:r w:rsidRPr="00370B7E">
        <w:rPr>
          <w:color w:val="C00000"/>
        </w:rPr>
        <w:t xml:space="preserve">INNOVATION 6: </w:t>
      </w:r>
      <w:r w:rsidR="00917EDD" w:rsidRPr="00917EDD">
        <w:t xml:space="preserve">The authority to continue to serve and generate ANB from a student who has graduated but who has not yet reached the age of 19 by September 10 of the year of enrollment without any exceptional circumstances.  20-5-101(3). </w:t>
      </w:r>
    </w:p>
    <w:p w14:paraId="14BB1F58" w14:textId="77777777" w:rsidR="00917EDD" w:rsidRPr="00917EDD" w:rsidRDefault="00917EDD" w:rsidP="00917EDD">
      <w:pPr>
        <w:numPr>
          <w:ilvl w:val="1"/>
          <w:numId w:val="2"/>
        </w:numPr>
      </w:pPr>
      <w:r w:rsidRPr="00917EDD">
        <w:t xml:space="preserve">“The trustees may also admit an individual who has graduated from high school but is not yet 19 years of age even though no </w:t>
      </w:r>
      <w:proofErr w:type="gramStart"/>
      <w:r w:rsidRPr="00917EDD">
        <w:t>special circumstances</w:t>
      </w:r>
      <w:proofErr w:type="gramEnd"/>
      <w:r w:rsidRPr="00917EDD">
        <w:t xml:space="preserve"> exist for waiver of the age provision of this section.”</w:t>
      </w:r>
    </w:p>
    <w:p w14:paraId="69AE270B" w14:textId="038133BC" w:rsidR="00917EDD" w:rsidRDefault="00917EDD" w:rsidP="00917EDD">
      <w:pPr>
        <w:numPr>
          <w:ilvl w:val="2"/>
          <w:numId w:val="2"/>
        </w:numPr>
      </w:pPr>
      <w:r w:rsidRPr="00917EDD">
        <w:t>Could be used, for example, to provide dual credit courses in the entire senior year of a student, or to cover the costs of career certification. With the BPE requiring a minimum of 20 credits to graduate (see 10.55.906(1) and (2), a student could take 7, 7 and 6 courses in Freshman, Sophomore and Junior years and would have flexibility on learning in the Senior year.</w:t>
      </w:r>
    </w:p>
    <w:p w14:paraId="0EAA7516" w14:textId="76D2F1B4" w:rsidR="00370B7E" w:rsidRPr="00917EDD" w:rsidRDefault="00370B7E" w:rsidP="00917EDD">
      <w:pPr>
        <w:numPr>
          <w:ilvl w:val="2"/>
          <w:numId w:val="2"/>
        </w:numPr>
      </w:pPr>
      <w:r>
        <w:t>Invite recent graduates who are weighing their options in light of COVID-19 (e.g. a gap year while the dust settles on COVID-19; wondering whether incurring the debt for higher education is a sound investment in light of the possibility of further disruption from COVID-19) to remain students for a productive gap year where the school district uses the ANB payment to help the student earn dual credit or a career certification.</w:t>
      </w:r>
    </w:p>
    <w:p w14:paraId="5B60A77A" w14:textId="73BBA2DC" w:rsidR="00704F56" w:rsidRPr="00A71382" w:rsidRDefault="00704F56" w:rsidP="00704F56">
      <w:pPr>
        <w:numPr>
          <w:ilvl w:val="0"/>
          <w:numId w:val="2"/>
        </w:numPr>
      </w:pPr>
      <w:r w:rsidRPr="00370B7E">
        <w:rPr>
          <w:color w:val="C00000"/>
        </w:rPr>
        <w:lastRenderedPageBreak/>
        <w:t>INNOVATION 7:</w:t>
      </w:r>
      <w:r>
        <w:rPr>
          <w:color w:val="000000" w:themeColor="text1"/>
        </w:rPr>
        <w:t xml:space="preserve"> </w:t>
      </w:r>
      <w:r w:rsidRPr="00704F56">
        <w:rPr>
          <w:color w:val="000000" w:themeColor="text1"/>
        </w:rPr>
        <w:t xml:space="preserve">Eligible use of Adult Education funds for anyone who is 16 years of age or older who is not a regularly enrolled </w:t>
      </w:r>
      <w:r w:rsidR="00A71382" w:rsidRPr="00704F56">
        <w:rPr>
          <w:color w:val="000000" w:themeColor="text1"/>
        </w:rPr>
        <w:t>full-time</w:t>
      </w:r>
      <w:r w:rsidRPr="00704F56">
        <w:rPr>
          <w:color w:val="000000" w:themeColor="text1"/>
        </w:rPr>
        <w:t xml:space="preserve"> pupil of the district.</w:t>
      </w:r>
      <w:r w:rsidR="008718BD">
        <w:rPr>
          <w:color w:val="000000" w:themeColor="text1"/>
        </w:rPr>
        <w:t xml:space="preserve"> Section 20-7-701, MCA.</w:t>
      </w:r>
    </w:p>
    <w:p w14:paraId="547060B1" w14:textId="0BF76964" w:rsidR="00A71382" w:rsidRPr="00A71382" w:rsidRDefault="00A71382" w:rsidP="00A71382">
      <w:pPr>
        <w:numPr>
          <w:ilvl w:val="1"/>
          <w:numId w:val="2"/>
        </w:numPr>
        <w:rPr>
          <w:color w:val="000000" w:themeColor="text1"/>
        </w:rPr>
      </w:pPr>
      <w:r w:rsidRPr="00A71382">
        <w:rPr>
          <w:color w:val="000000" w:themeColor="text1"/>
        </w:rPr>
        <w:t>Use of Adult Education Funding for dropout retrieval/credit recovery for students who would not otherwise graduate</w:t>
      </w:r>
    </w:p>
    <w:p w14:paraId="45314FE2" w14:textId="7BA06C87" w:rsidR="00A71382" w:rsidRPr="00A71382" w:rsidRDefault="00A71382" w:rsidP="00A71382">
      <w:pPr>
        <w:numPr>
          <w:ilvl w:val="1"/>
          <w:numId w:val="2"/>
        </w:numPr>
        <w:rPr>
          <w:color w:val="000000" w:themeColor="text1"/>
        </w:rPr>
      </w:pPr>
      <w:r w:rsidRPr="00A71382">
        <w:rPr>
          <w:color w:val="000000" w:themeColor="text1"/>
        </w:rPr>
        <w:t>Use to recruit students who might otherwise be looking at a gap year following graduation as well.</w:t>
      </w:r>
    </w:p>
    <w:p w14:paraId="591CB40D" w14:textId="14F6D88C" w:rsidR="00917EDD" w:rsidRPr="00917EDD" w:rsidRDefault="00370B7E" w:rsidP="00917EDD">
      <w:pPr>
        <w:numPr>
          <w:ilvl w:val="0"/>
          <w:numId w:val="2"/>
        </w:numPr>
      </w:pPr>
      <w:r w:rsidRPr="00370B7E">
        <w:rPr>
          <w:color w:val="C00000"/>
        </w:rPr>
        <w:t xml:space="preserve">INNOVATION </w:t>
      </w:r>
      <w:r w:rsidR="00704F56">
        <w:rPr>
          <w:color w:val="C00000"/>
        </w:rPr>
        <w:t>8</w:t>
      </w:r>
      <w:r w:rsidRPr="00370B7E">
        <w:rPr>
          <w:color w:val="C00000"/>
        </w:rPr>
        <w:t xml:space="preserve">: </w:t>
      </w:r>
      <w:r w:rsidR="00917EDD" w:rsidRPr="00917EDD">
        <w:t>Transfers and flexible expenditures through a multidistrict agreement involving 2 or more districts.  Would allow all districts in the state, for example, to transfer their entire direct state aid payment into a single school district’s interlocal agreement fund and participate in jointly funded operations and maintenance of all participating districts. Section 20-3-363, MCA.</w:t>
      </w:r>
      <w:r>
        <w:t xml:space="preserve"> Now may be the time, more than ever, to combine resources, partner up and expand learning options for students in participating districts.</w:t>
      </w:r>
    </w:p>
    <w:p w14:paraId="3D343582" w14:textId="538DEA9A" w:rsidR="00917EDD" w:rsidRPr="00917EDD" w:rsidRDefault="00370B7E" w:rsidP="00917EDD">
      <w:pPr>
        <w:numPr>
          <w:ilvl w:val="0"/>
          <w:numId w:val="2"/>
        </w:numPr>
      </w:pPr>
      <w:r w:rsidRPr="00370B7E">
        <w:rPr>
          <w:color w:val="C00000"/>
        </w:rPr>
        <w:t xml:space="preserve">INNOVATION </w:t>
      </w:r>
      <w:r w:rsidR="00704F56">
        <w:rPr>
          <w:color w:val="C00000"/>
        </w:rPr>
        <w:t>9</w:t>
      </w:r>
      <w:r w:rsidRPr="00370B7E">
        <w:rPr>
          <w:color w:val="C00000"/>
        </w:rPr>
        <w:t xml:space="preserve">: </w:t>
      </w:r>
      <w:r w:rsidR="00917EDD" w:rsidRPr="00917EDD">
        <w:t xml:space="preserve">Transfer and flexible use of state funds without regard to participation in a multidistrict agreement. 20-9-208 allows transfers “whenever the trustees determine, in their discretion, that the transfer of funds is necessary to improve the efficiency of spending within the district or when an action of the trustees results in savings in one budgeted fund that can be put to more efficient use in another budgeted fund.” There is a restriction on transfers of local </w:t>
      </w:r>
      <w:proofErr w:type="spellStart"/>
      <w:r w:rsidR="00917EDD" w:rsidRPr="00917EDD">
        <w:t>nonvoted</w:t>
      </w:r>
      <w:proofErr w:type="spellEnd"/>
      <w:r w:rsidR="00917EDD" w:rsidRPr="00917EDD">
        <w:t xml:space="preserve"> levy funds (must be for similar purpose) but no such restriction on state funds.</w:t>
      </w:r>
    </w:p>
    <w:p w14:paraId="16F58D74" w14:textId="46F0718F" w:rsidR="00917EDD" w:rsidRPr="00917EDD" w:rsidRDefault="00917EDD" w:rsidP="00370B7E">
      <w:pPr>
        <w:numPr>
          <w:ilvl w:val="1"/>
          <w:numId w:val="2"/>
        </w:numPr>
      </w:pPr>
      <w:r w:rsidRPr="00917EDD">
        <w:t>A school district can obtain voter approval to transfer any funds and put to a use different than the purpose for which the funds were originally raised.  Section 20-9-208(2)(a)(</w:t>
      </w:r>
      <w:proofErr w:type="spellStart"/>
      <w:r w:rsidRPr="00917EDD">
        <w:t>i</w:t>
      </w:r>
      <w:proofErr w:type="spellEnd"/>
      <w:r w:rsidRPr="00917EDD">
        <w:t>)(A).</w:t>
      </w:r>
      <w:r w:rsidR="00370B7E">
        <w:t xml:space="preserve"> This could be a way that school districts could engage their communities in discussion regarding the most effective use of limited resources.</w:t>
      </w:r>
    </w:p>
    <w:p w14:paraId="65404AB8" w14:textId="36FC5E48" w:rsidR="00917EDD" w:rsidRPr="00917EDD" w:rsidRDefault="00370B7E" w:rsidP="00917EDD">
      <w:pPr>
        <w:numPr>
          <w:ilvl w:val="0"/>
          <w:numId w:val="2"/>
        </w:numPr>
      </w:pPr>
      <w:r w:rsidRPr="00370B7E">
        <w:rPr>
          <w:color w:val="C00000"/>
        </w:rPr>
        <w:t xml:space="preserve">INNOVATION </w:t>
      </w:r>
      <w:r w:rsidR="00704F56">
        <w:rPr>
          <w:color w:val="C00000"/>
        </w:rPr>
        <w:t>10</w:t>
      </w:r>
      <w:r w:rsidRPr="00370B7E">
        <w:rPr>
          <w:color w:val="C00000"/>
        </w:rPr>
        <w:t xml:space="preserve">: </w:t>
      </w:r>
      <w:r w:rsidR="00917EDD" w:rsidRPr="00917EDD">
        <w:t>Use of transfers, major maintenance funds and voted levies for school safety. See 20-9-236; 20-9-502; 20-9-525.</w:t>
      </w:r>
    </w:p>
    <w:p w14:paraId="6E7F5BCB" w14:textId="1295C3AF" w:rsidR="00917EDD" w:rsidRPr="00917EDD" w:rsidRDefault="00370B7E" w:rsidP="00917EDD">
      <w:pPr>
        <w:numPr>
          <w:ilvl w:val="0"/>
          <w:numId w:val="2"/>
        </w:numPr>
      </w:pPr>
      <w:r w:rsidRPr="00370B7E">
        <w:rPr>
          <w:color w:val="C00000"/>
        </w:rPr>
        <w:t>INNOVATION 1</w:t>
      </w:r>
      <w:r w:rsidR="00704F56">
        <w:rPr>
          <w:color w:val="C00000"/>
        </w:rPr>
        <w:t>1</w:t>
      </w:r>
      <w:r w:rsidRPr="00370B7E">
        <w:rPr>
          <w:color w:val="C00000"/>
        </w:rPr>
        <w:t xml:space="preserve">: </w:t>
      </w:r>
      <w:r w:rsidR="00917EDD" w:rsidRPr="00917EDD">
        <w:t>Look back allowance on the highest levy authorized or imposed in the general fund over the preceding five years. 20-9-308(2)(a).</w:t>
      </w:r>
    </w:p>
    <w:p w14:paraId="26F16A9E" w14:textId="68383280" w:rsidR="00917EDD" w:rsidRPr="00917EDD" w:rsidRDefault="00370B7E" w:rsidP="00917EDD">
      <w:pPr>
        <w:numPr>
          <w:ilvl w:val="0"/>
          <w:numId w:val="2"/>
        </w:numPr>
      </w:pPr>
      <w:r w:rsidRPr="00370B7E">
        <w:rPr>
          <w:color w:val="C00000"/>
        </w:rPr>
        <w:t>INNOVATION 1</w:t>
      </w:r>
      <w:r w:rsidR="00704F56">
        <w:rPr>
          <w:color w:val="C00000"/>
        </w:rPr>
        <w:t>2</w:t>
      </w:r>
      <w:r w:rsidRPr="00370B7E">
        <w:rPr>
          <w:color w:val="C00000"/>
        </w:rPr>
        <w:t xml:space="preserve">: </w:t>
      </w:r>
      <w:proofErr w:type="spellStart"/>
      <w:r w:rsidR="00917EDD" w:rsidRPr="00917EDD">
        <w:t>Nonvoted</w:t>
      </w:r>
      <w:proofErr w:type="spellEnd"/>
      <w:r w:rsidR="00917EDD" w:rsidRPr="00917EDD">
        <w:t xml:space="preserve"> increase in the over base general fund levy through corresponding reductions in non-voted funds under the control of the board of trustees. 20-9-308(2)(b).</w:t>
      </w:r>
    </w:p>
    <w:p w14:paraId="1693EA38" w14:textId="58EA0343" w:rsidR="00917EDD" w:rsidRDefault="00370B7E" w:rsidP="00917EDD">
      <w:pPr>
        <w:numPr>
          <w:ilvl w:val="0"/>
          <w:numId w:val="2"/>
        </w:numPr>
      </w:pPr>
      <w:r w:rsidRPr="00370B7E">
        <w:rPr>
          <w:color w:val="C00000"/>
        </w:rPr>
        <w:t>INNOVATION 1</w:t>
      </w:r>
      <w:r w:rsidR="00704F56">
        <w:rPr>
          <w:color w:val="C00000"/>
        </w:rPr>
        <w:t>3</w:t>
      </w:r>
      <w:r w:rsidRPr="00370B7E">
        <w:rPr>
          <w:color w:val="C00000"/>
        </w:rPr>
        <w:t xml:space="preserve">: </w:t>
      </w:r>
      <w:r w:rsidR="00917EDD" w:rsidRPr="00917EDD">
        <w:t>Ability to leverage major maintenance funds for loans from the Board of Investments or the private sector (if the Board declines). Loans can be for up to 15 years. Provides borrowing authority of over $300 million to schools for major maintenance. Sections 20-9-471; 20-9-525(2), MCA.</w:t>
      </w:r>
    </w:p>
    <w:p w14:paraId="0DC3811B" w14:textId="7932DA39" w:rsidR="00370B7E" w:rsidRPr="00917EDD" w:rsidRDefault="00370B7E" w:rsidP="00370B7E">
      <w:pPr>
        <w:numPr>
          <w:ilvl w:val="1"/>
          <w:numId w:val="2"/>
        </w:numPr>
      </w:pPr>
      <w:r>
        <w:t>Upgrades to HVAC systems may be the order of the day, as research suggests that the recycling of indoor air through HVAC systems may increase the risk of COVID-19 infections.</w:t>
      </w:r>
    </w:p>
    <w:p w14:paraId="438D305F" w14:textId="2D6B94A1" w:rsidR="00917EDD" w:rsidRPr="00917EDD" w:rsidRDefault="00370B7E" w:rsidP="00917EDD">
      <w:pPr>
        <w:numPr>
          <w:ilvl w:val="0"/>
          <w:numId w:val="2"/>
        </w:numPr>
      </w:pPr>
      <w:r w:rsidRPr="00370B7E">
        <w:rPr>
          <w:color w:val="C00000"/>
        </w:rPr>
        <w:t>INNOVATION 1</w:t>
      </w:r>
      <w:r w:rsidR="00704F56">
        <w:rPr>
          <w:color w:val="C00000"/>
        </w:rPr>
        <w:t>4</w:t>
      </w:r>
      <w:r w:rsidRPr="00370B7E">
        <w:rPr>
          <w:color w:val="C00000"/>
        </w:rPr>
        <w:t xml:space="preserve">: </w:t>
      </w:r>
      <w:r w:rsidR="00917EDD" w:rsidRPr="00917EDD">
        <w:t>Flexibility to transfer donated funds that were not earmarked by the donor to any fund in the discretion of the trustees. Section 20-9-604, MCA.</w:t>
      </w:r>
    </w:p>
    <w:p w14:paraId="15548D84" w14:textId="218B7F61" w:rsidR="00FF363F" w:rsidRDefault="00FF363F"/>
    <w:sectPr w:rsidR="00FF363F" w:rsidSect="009D60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24B9E"/>
    <w:multiLevelType w:val="multilevel"/>
    <w:tmpl w:val="6A6066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1210CEB"/>
    <w:multiLevelType w:val="multilevel"/>
    <w:tmpl w:val="7C5EB3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EDD"/>
    <w:rsid w:val="00370B7E"/>
    <w:rsid w:val="003D0512"/>
    <w:rsid w:val="00704F56"/>
    <w:rsid w:val="00715725"/>
    <w:rsid w:val="008718BD"/>
    <w:rsid w:val="009107FD"/>
    <w:rsid w:val="00917EDD"/>
    <w:rsid w:val="009D60B9"/>
    <w:rsid w:val="00A71382"/>
    <w:rsid w:val="00BE79F2"/>
    <w:rsid w:val="00CE5BB3"/>
    <w:rsid w:val="00D7665A"/>
    <w:rsid w:val="00DA4CCB"/>
    <w:rsid w:val="00EE19E7"/>
    <w:rsid w:val="00FF3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53F43A"/>
  <w15:chartTrackingRefBased/>
  <w15:docId w15:val="{BAB6CC76-1171-9940-A830-868563A0F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2234288">
      <w:bodyDiv w:val="1"/>
      <w:marLeft w:val="0"/>
      <w:marRight w:val="0"/>
      <w:marTop w:val="0"/>
      <w:marBottom w:val="0"/>
      <w:divBdr>
        <w:top w:val="none" w:sz="0" w:space="0" w:color="auto"/>
        <w:left w:val="none" w:sz="0" w:space="0" w:color="auto"/>
        <w:bottom w:val="none" w:sz="0" w:space="0" w:color="auto"/>
        <w:right w:val="none" w:sz="0" w:space="0" w:color="auto"/>
      </w:divBdr>
    </w:div>
    <w:div w:id="210333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1323</Words>
  <Characters>7543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Melton</dc:creator>
  <cp:keywords/>
  <dc:description/>
  <cp:lastModifiedBy>Lance Melton</cp:lastModifiedBy>
  <cp:revision>11</cp:revision>
  <dcterms:created xsi:type="dcterms:W3CDTF">2020-06-08T12:29:00Z</dcterms:created>
  <dcterms:modified xsi:type="dcterms:W3CDTF">2020-06-10T17:22:00Z</dcterms:modified>
</cp:coreProperties>
</file>